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3C7" w:rsidRDefault="002F73C7" w:rsidP="002F73C7">
      <w:pPr>
        <w:shd w:val="clear" w:color="auto" w:fill="FFFFFF"/>
        <w:jc w:val="both"/>
        <w:rPr>
          <w:rFonts w:ascii="Verdana" w:hAnsi="Verdana"/>
          <w:color w:val="000000"/>
          <w:bdr w:val="none" w:sz="0" w:space="0" w:color="auto" w:frame="1"/>
          <w:lang w:val="en-US"/>
        </w:rPr>
      </w:pPr>
      <w:r>
        <w:rPr>
          <w:rFonts w:ascii="Verdana" w:hAnsi="Verdana"/>
          <w:color w:val="000000"/>
          <w:bdr w:val="none" w:sz="0" w:space="0" w:color="auto" w:frame="1"/>
          <w:lang w:val="en-US"/>
        </w:rPr>
        <w:t>TECA:2023-</w:t>
      </w:r>
      <w:proofErr w:type="gramStart"/>
      <w:r>
        <w:rPr>
          <w:rFonts w:ascii="Verdana" w:hAnsi="Verdana"/>
          <w:color w:val="000000"/>
          <w:bdr w:val="none" w:sz="0" w:space="0" w:color="auto" w:frame="1"/>
          <w:lang w:val="en-US"/>
        </w:rPr>
        <w:t>24:CIR</w:t>
      </w:r>
      <w:proofErr w:type="gramEnd"/>
      <w:r>
        <w:rPr>
          <w:rFonts w:ascii="Verdana" w:hAnsi="Verdana"/>
          <w:color w:val="000000"/>
          <w:bdr w:val="none" w:sz="0" w:space="0" w:color="auto" w:frame="1"/>
          <w:lang w:val="en-US"/>
        </w:rPr>
        <w:t>/043</w:t>
      </w:r>
    </w:p>
    <w:p w:rsidR="002F73C7" w:rsidRDefault="002F73C7" w:rsidP="002F73C7">
      <w:pPr>
        <w:shd w:val="clear" w:color="auto" w:fill="FFFFFF"/>
        <w:spacing w:after="120"/>
        <w:jc w:val="both"/>
        <w:rPr>
          <w:rFonts w:ascii="Verdana" w:hAnsi="Verdana"/>
          <w:color w:val="000000"/>
          <w:bdr w:val="none" w:sz="0" w:space="0" w:color="auto" w:frame="1"/>
          <w:lang w:val="en-US"/>
        </w:rPr>
      </w:pPr>
      <w:r>
        <w:rPr>
          <w:rFonts w:ascii="Verdana" w:hAnsi="Verdana"/>
          <w:color w:val="000000"/>
          <w:bdr w:val="none" w:sz="0" w:space="0" w:color="auto" w:frame="1"/>
          <w:lang w:val="en-US"/>
        </w:rPr>
        <w:t>12 September 2023</w:t>
      </w:r>
    </w:p>
    <w:p w:rsidR="002F73C7" w:rsidRDefault="002F73C7" w:rsidP="002F73C7">
      <w:pPr>
        <w:shd w:val="clear" w:color="auto" w:fill="FFFFFF"/>
        <w:jc w:val="center"/>
        <w:rPr>
          <w:rFonts w:ascii="Verdana" w:hAnsi="Verdana"/>
          <w:color w:val="222222"/>
          <w:lang w:val="en-US"/>
        </w:rPr>
      </w:pPr>
      <w:r>
        <w:rPr>
          <w:rFonts w:ascii="Verdana" w:hAnsi="Verdana"/>
          <w:b/>
          <w:bCs/>
          <w:color w:val="000000"/>
          <w:u w:val="single"/>
          <w:bdr w:val="none" w:sz="0" w:space="0" w:color="auto" w:frame="1"/>
          <w:lang w:val="en-US"/>
        </w:rPr>
        <w:t>CIRCULAR</w:t>
      </w:r>
    </w:p>
    <w:p w:rsidR="002F73C7" w:rsidRDefault="002F73C7" w:rsidP="002F73C7">
      <w:pPr>
        <w:shd w:val="clear" w:color="auto" w:fill="FFFFFF"/>
        <w:spacing w:after="120"/>
        <w:jc w:val="both"/>
        <w:rPr>
          <w:rFonts w:ascii="Verdana" w:hAnsi="Verdana"/>
          <w:color w:val="000000"/>
          <w:bdr w:val="none" w:sz="0" w:space="0" w:color="auto" w:frame="1"/>
          <w:lang w:val="en-US"/>
        </w:rPr>
      </w:pPr>
      <w:r>
        <w:rPr>
          <w:rFonts w:ascii="Verdana" w:hAnsi="Verdana"/>
          <w:color w:val="000000"/>
          <w:bdr w:val="none" w:sz="0" w:space="0" w:color="auto" w:frame="1"/>
          <w:lang w:val="en-US"/>
        </w:rPr>
        <w:t>To All Members</w:t>
      </w:r>
    </w:p>
    <w:p w:rsidR="002F73C7" w:rsidRDefault="002F73C7" w:rsidP="002F73C7">
      <w:pPr>
        <w:shd w:val="clear" w:color="auto" w:fill="FFFFFF"/>
        <w:spacing w:after="120"/>
        <w:jc w:val="both"/>
        <w:rPr>
          <w:rFonts w:ascii="Verdana" w:hAnsi="Verdana"/>
          <w:color w:val="000000"/>
          <w:bdr w:val="none" w:sz="0" w:space="0" w:color="auto" w:frame="1"/>
          <w:lang w:val="en-US"/>
        </w:rPr>
      </w:pPr>
    </w:p>
    <w:p w:rsidR="002F73C7" w:rsidRDefault="002F73C7" w:rsidP="002F73C7">
      <w:pPr>
        <w:shd w:val="clear" w:color="auto" w:fill="FFFFFF"/>
        <w:spacing w:after="120"/>
        <w:ind w:left="567" w:hanging="567"/>
        <w:jc w:val="both"/>
        <w:rPr>
          <w:rFonts w:ascii="Verdana" w:hAnsi="Verdana"/>
          <w:lang w:val="en-US"/>
        </w:rPr>
      </w:pPr>
      <w:r>
        <w:rPr>
          <w:rFonts w:ascii="Verdana" w:hAnsi="Verdana"/>
          <w:lang w:val="en-US"/>
        </w:rPr>
        <w:t>Sub: Draft of TNERC-Forecasting, Scheduling and Deviation Settlement and Related Matters for Wind and Solar Generation) Regulations, 2023-Issued for comments</w:t>
      </w:r>
    </w:p>
    <w:p w:rsidR="002F73C7" w:rsidRDefault="002F73C7" w:rsidP="002F73C7">
      <w:pPr>
        <w:shd w:val="clear" w:color="auto" w:fill="FFFFFF"/>
        <w:spacing w:after="120"/>
        <w:ind w:left="567" w:hanging="567"/>
        <w:jc w:val="both"/>
        <w:rPr>
          <w:rFonts w:ascii="Verdana" w:hAnsi="Verdana"/>
          <w:lang w:val="en-US"/>
        </w:rPr>
      </w:pPr>
      <w:r>
        <w:rPr>
          <w:rFonts w:ascii="Verdana" w:hAnsi="Verdana"/>
          <w:lang w:val="en-US"/>
        </w:rPr>
        <w:t>Ref: TNERC’s Webhosted PR dated 11.09.2023</w:t>
      </w:r>
    </w:p>
    <w:p w:rsidR="002F73C7" w:rsidRDefault="002F73C7" w:rsidP="002F73C7">
      <w:pPr>
        <w:shd w:val="clear" w:color="auto" w:fill="FFFFFF"/>
        <w:spacing w:after="120"/>
        <w:jc w:val="both"/>
        <w:rPr>
          <w:rFonts w:ascii="Verdana" w:hAnsi="Verdana"/>
          <w:lang w:val="en-US"/>
        </w:rPr>
      </w:pPr>
    </w:p>
    <w:p w:rsidR="002F73C7" w:rsidRDefault="002F73C7" w:rsidP="002F73C7">
      <w:pPr>
        <w:shd w:val="clear" w:color="auto" w:fill="FFFFFF"/>
        <w:spacing w:after="120"/>
        <w:jc w:val="both"/>
        <w:rPr>
          <w:rFonts w:ascii="Verdana" w:hAnsi="Verdana"/>
          <w:lang w:val="en-US"/>
        </w:rPr>
      </w:pPr>
      <w:r>
        <w:rPr>
          <w:rFonts w:ascii="Verdana" w:hAnsi="Verdana"/>
          <w:lang w:val="en-US"/>
        </w:rPr>
        <w:t xml:space="preserve">Please find enclosed the copy of the Draft Tamil Nadu Electricity Commission “Forecasting, Scheduling and Deviation Settlement and Related Matters for Wind and Solar Generation) Regulations, 2023, as found webhosted by the TNERC, in its website. </w:t>
      </w:r>
    </w:p>
    <w:p w:rsidR="002F73C7" w:rsidRDefault="002F73C7" w:rsidP="002F73C7">
      <w:pPr>
        <w:shd w:val="clear" w:color="auto" w:fill="FFFFFF"/>
        <w:spacing w:after="120"/>
        <w:jc w:val="both"/>
        <w:rPr>
          <w:rFonts w:ascii="Verdana" w:hAnsi="Verdana"/>
          <w:lang w:val="en-US"/>
        </w:rPr>
      </w:pPr>
      <w:r>
        <w:rPr>
          <w:rFonts w:ascii="Verdana" w:hAnsi="Verdana"/>
          <w:lang w:val="en-US"/>
        </w:rPr>
        <w:t>In this connection, members are informed as follows.</w:t>
      </w:r>
    </w:p>
    <w:p w:rsidR="002F73C7" w:rsidRDefault="002F73C7" w:rsidP="002F73C7">
      <w:pPr>
        <w:shd w:val="clear" w:color="auto" w:fill="FFFFFF"/>
        <w:spacing w:after="120"/>
        <w:jc w:val="both"/>
        <w:rPr>
          <w:rFonts w:ascii="Verdana" w:hAnsi="Verdana"/>
          <w:lang w:val="en-US"/>
        </w:rPr>
      </w:pPr>
      <w:r>
        <w:rPr>
          <w:rFonts w:ascii="Verdana" w:hAnsi="Verdana"/>
          <w:lang w:val="en-US"/>
        </w:rPr>
        <w:t>The TNERC has already notified the Forecasting, Scheduling and Deviation Settlement Mechanism (DSM) and Related Matters for Wind and Solar Generation Regulations, 2019 and accordingly, those Generators having Grid Connected WEGs / SPGs are brought under the obligation of Forecasting, Scheduling and Deviation Settlement Mechanism (DSM) from 2019 onwards.</w:t>
      </w:r>
    </w:p>
    <w:p w:rsidR="002F73C7" w:rsidRDefault="002F73C7" w:rsidP="002F73C7">
      <w:pPr>
        <w:shd w:val="clear" w:color="auto" w:fill="FFFFFF"/>
        <w:spacing w:after="120"/>
        <w:jc w:val="both"/>
        <w:rPr>
          <w:rFonts w:ascii="Verdana" w:hAnsi="Verdana"/>
          <w:lang w:val="en-US"/>
        </w:rPr>
      </w:pPr>
      <w:r>
        <w:rPr>
          <w:rFonts w:ascii="Verdana" w:hAnsi="Verdana"/>
          <w:lang w:val="en-US"/>
        </w:rPr>
        <w:t xml:space="preserve">In this connection, members having WEGs are informed that on a joint meeting of the Stakeholder Associations, with M/s. Leap Green Energy (P) Ltd., and with TNERC Chairman held on 18.02.2021 at Coimbatore, it was decided to make the implementation of the Regulation, </w:t>
      </w:r>
      <w:r>
        <w:rPr>
          <w:rFonts w:ascii="Verdana" w:hAnsi="Verdana"/>
          <w:b/>
          <w:bCs/>
          <w:u w:val="single"/>
          <w:lang w:val="en-US"/>
        </w:rPr>
        <w:t>on a trial basis</w:t>
      </w:r>
      <w:r>
        <w:rPr>
          <w:rFonts w:ascii="Verdana" w:hAnsi="Verdana"/>
          <w:b/>
          <w:bCs/>
          <w:lang w:val="en-US"/>
        </w:rPr>
        <w:t xml:space="preserve"> </w:t>
      </w:r>
      <w:r>
        <w:rPr>
          <w:rFonts w:ascii="Verdana" w:hAnsi="Verdana"/>
          <w:lang w:val="en-US"/>
        </w:rPr>
        <w:t xml:space="preserve">and accordingly, M/s. Leap Green Energy (P) Ltd., was appointed as a State Level Single QCA for WEGs alone, on the unanimous authorization provided by all WEG Associations including </w:t>
      </w:r>
      <w:proofErr w:type="gramStart"/>
      <w:r>
        <w:rPr>
          <w:rFonts w:ascii="Verdana" w:hAnsi="Verdana"/>
          <w:lang w:val="en-US"/>
        </w:rPr>
        <w:t>TECA,TASMA</w:t>
      </w:r>
      <w:proofErr w:type="gramEnd"/>
      <w:r>
        <w:rPr>
          <w:rFonts w:ascii="Verdana" w:hAnsi="Verdana"/>
          <w:lang w:val="en-US"/>
        </w:rPr>
        <w:t xml:space="preserve">, IWPA, and SIMA. M/s. Leap Green Energy (P) Ltd., as QCA, is thereafter, providing necessary Forecasting and Scheduling to the SLDC suitably and however, the Deviation Settlement Mechanism alone has not come in to force so far. </w:t>
      </w:r>
    </w:p>
    <w:p w:rsidR="002F73C7" w:rsidRDefault="002F73C7" w:rsidP="002F73C7">
      <w:pPr>
        <w:shd w:val="clear" w:color="auto" w:fill="FFFFFF"/>
        <w:spacing w:after="120"/>
        <w:jc w:val="both"/>
        <w:rPr>
          <w:rFonts w:ascii="Verdana" w:hAnsi="Verdana"/>
          <w:lang w:val="en-US"/>
        </w:rPr>
      </w:pPr>
      <w:r>
        <w:rPr>
          <w:rFonts w:ascii="Verdana" w:hAnsi="Verdana"/>
          <w:lang w:val="en-US"/>
        </w:rPr>
        <w:t>While these arrangements are in force, the TNERC has now notified a Draft, for making certain amendments to the 2019 Regulations as per the attachment and accordingly, invited comments before 10.10.2023.</w:t>
      </w:r>
    </w:p>
    <w:p w:rsidR="002F73C7" w:rsidRDefault="002F73C7" w:rsidP="002F73C7">
      <w:pPr>
        <w:shd w:val="clear" w:color="auto" w:fill="FFFFFF"/>
        <w:spacing w:after="120"/>
        <w:jc w:val="both"/>
        <w:rPr>
          <w:rFonts w:ascii="Verdana" w:hAnsi="Verdana"/>
          <w:lang w:val="en-US"/>
        </w:rPr>
      </w:pPr>
      <w:r>
        <w:rPr>
          <w:rFonts w:ascii="Verdana" w:hAnsi="Verdana"/>
          <w:lang w:val="en-US"/>
        </w:rPr>
        <w:t>We are consulting this matter with M/s. Leap Green Energy (P) Ltd., and accordingly, after due consultation, suitable comments will be filed with the TNERC before the due date of 10.10.2023</w:t>
      </w:r>
    </w:p>
    <w:p w:rsidR="002F73C7" w:rsidRDefault="002F73C7" w:rsidP="002F73C7">
      <w:pPr>
        <w:shd w:val="clear" w:color="auto" w:fill="FFFFFF"/>
        <w:spacing w:after="120"/>
        <w:jc w:val="both"/>
        <w:rPr>
          <w:rFonts w:ascii="Verdana" w:hAnsi="Verdana"/>
          <w:lang w:val="en-US"/>
        </w:rPr>
      </w:pPr>
      <w:r>
        <w:rPr>
          <w:rFonts w:ascii="Verdana" w:hAnsi="Verdana"/>
          <w:lang w:val="en-US"/>
        </w:rPr>
        <w:t xml:space="preserve">According to the Draft now provided, the TNERC is likely to introduce the DSM with a cap to the extent of 5 </w:t>
      </w:r>
      <w:proofErr w:type="spellStart"/>
      <w:r>
        <w:rPr>
          <w:rFonts w:ascii="Verdana" w:hAnsi="Verdana"/>
          <w:lang w:val="en-US"/>
        </w:rPr>
        <w:t>paise</w:t>
      </w:r>
      <w:proofErr w:type="spellEnd"/>
      <w:r>
        <w:rPr>
          <w:rFonts w:ascii="Verdana" w:hAnsi="Verdana"/>
          <w:lang w:val="en-US"/>
        </w:rPr>
        <w:t xml:space="preserve"> / unit, as a Deviation Charge as per Para 7.6 </w:t>
      </w:r>
      <w:r>
        <w:rPr>
          <w:rFonts w:ascii="Verdana" w:hAnsi="Verdana"/>
          <w:lang w:val="en-US"/>
        </w:rPr>
        <w:lastRenderedPageBreak/>
        <w:t>of the Draft which is reproduced below, on the total annual generation of Wind and Solar Power in the State. This looks abnormally very high at the very face of the record at present.</w:t>
      </w:r>
    </w:p>
    <w:p w:rsidR="002F73C7" w:rsidRDefault="002F73C7" w:rsidP="002F73C7">
      <w:pPr>
        <w:shd w:val="clear" w:color="auto" w:fill="FFFFFF"/>
        <w:spacing w:after="120"/>
        <w:ind w:left="851"/>
        <w:jc w:val="both"/>
        <w:rPr>
          <w:rFonts w:ascii="Verdana" w:hAnsi="Verdana"/>
          <w:i/>
          <w:iCs/>
          <w:lang w:val="en-US"/>
        </w:rPr>
      </w:pPr>
      <w:r>
        <w:rPr>
          <w:rFonts w:ascii="Verdana" w:hAnsi="Verdana"/>
          <w:i/>
          <w:iCs/>
          <w:lang w:val="en-US"/>
        </w:rPr>
        <w:t xml:space="preserve">“7.6. The total deviation charges remitted on account of deviations by wind / solar generator(s) into State Deviation Pool Account in a financial year shall be capped at the Ceiling Rate of 5 </w:t>
      </w:r>
      <w:proofErr w:type="spellStart"/>
      <w:r>
        <w:rPr>
          <w:rFonts w:ascii="Verdana" w:hAnsi="Verdana"/>
          <w:i/>
          <w:iCs/>
          <w:lang w:val="en-US"/>
        </w:rPr>
        <w:t>paise</w:t>
      </w:r>
      <w:proofErr w:type="spellEnd"/>
      <w:r>
        <w:rPr>
          <w:rFonts w:ascii="Verdana" w:hAnsi="Verdana"/>
          <w:i/>
          <w:iCs/>
          <w:lang w:val="en-US"/>
        </w:rPr>
        <w:t xml:space="preserve"> per unit multiplied by the total annual generation at the respective Pooling sub-station(s)/total generated units in state wide aggregation.”</w:t>
      </w:r>
    </w:p>
    <w:p w:rsidR="002F73C7" w:rsidRDefault="002F73C7" w:rsidP="002F73C7">
      <w:pPr>
        <w:shd w:val="clear" w:color="auto" w:fill="FFFFFF"/>
        <w:spacing w:after="120"/>
        <w:ind w:left="851"/>
        <w:jc w:val="both"/>
        <w:rPr>
          <w:rFonts w:ascii="Verdana" w:hAnsi="Verdana"/>
          <w:i/>
          <w:iCs/>
          <w:lang w:val="en-US"/>
        </w:rPr>
      </w:pPr>
    </w:p>
    <w:p w:rsidR="002F73C7" w:rsidRDefault="002F73C7" w:rsidP="002F73C7">
      <w:pPr>
        <w:shd w:val="clear" w:color="auto" w:fill="FFFFFF"/>
        <w:spacing w:after="120"/>
        <w:jc w:val="both"/>
        <w:rPr>
          <w:rFonts w:ascii="Verdana" w:hAnsi="Verdana"/>
          <w:lang w:val="en-US"/>
        </w:rPr>
      </w:pPr>
      <w:r>
        <w:rPr>
          <w:rFonts w:ascii="Verdana" w:hAnsi="Verdana"/>
          <w:lang w:val="en-US"/>
        </w:rPr>
        <w:t xml:space="preserve">In the meanwhile, members having SPGs are informed that so far, no effective steps have been taken by the Solar Power Generators (SPGs), for complying with the obligations, as provided under the Forecasting, Scheduling and Deviation Settlement Mechanism and Related Matters for Wind and Solar Generation) Regulations, 2019 and therefore, Solar Power Generators have to organize themselves suitably, to appoint a suitable QCA for the solar power also, as they have done it for the wind power in the State and they have to comply with the Regulations suitably. </w:t>
      </w:r>
    </w:p>
    <w:p w:rsidR="002F73C7" w:rsidRDefault="002F73C7" w:rsidP="002F73C7">
      <w:pPr>
        <w:shd w:val="clear" w:color="auto" w:fill="FFFFFF"/>
        <w:spacing w:after="120"/>
        <w:jc w:val="both"/>
        <w:rPr>
          <w:rFonts w:ascii="Verdana" w:hAnsi="Verdana"/>
          <w:lang w:val="en-US"/>
        </w:rPr>
      </w:pPr>
      <w:r>
        <w:rPr>
          <w:rFonts w:ascii="Verdana" w:hAnsi="Verdana"/>
          <w:lang w:val="en-US"/>
        </w:rPr>
        <w:t xml:space="preserve">We request the members to kindly go through the Draft Amendment as attached and accordingly, </w:t>
      </w:r>
      <w:proofErr w:type="gramStart"/>
      <w:r>
        <w:rPr>
          <w:rFonts w:ascii="Verdana" w:hAnsi="Verdana"/>
          <w:lang w:val="en-US"/>
        </w:rPr>
        <w:t>those member</w:t>
      </w:r>
      <w:proofErr w:type="gramEnd"/>
      <w:r>
        <w:rPr>
          <w:rFonts w:ascii="Verdana" w:hAnsi="Verdana"/>
          <w:lang w:val="en-US"/>
        </w:rPr>
        <w:t xml:space="preserve"> who are willing to make comments can provide the comments to TECA on or before 05.10.2023.</w:t>
      </w:r>
    </w:p>
    <w:p w:rsidR="002F73C7" w:rsidRDefault="002F73C7" w:rsidP="002F73C7">
      <w:pPr>
        <w:shd w:val="clear" w:color="auto" w:fill="FFFFFF"/>
        <w:spacing w:after="120"/>
        <w:ind w:left="426" w:hanging="426"/>
        <w:jc w:val="both"/>
        <w:rPr>
          <w:rFonts w:ascii="Verdana" w:hAnsi="Verdana"/>
          <w:color w:val="222222"/>
          <w:lang w:val="en-US"/>
        </w:rPr>
      </w:pPr>
    </w:p>
    <w:p w:rsidR="002F73C7" w:rsidRDefault="002F73C7" w:rsidP="002F73C7">
      <w:pPr>
        <w:jc w:val="both"/>
        <w:rPr>
          <w:rFonts w:ascii="Verdana" w:hAnsi="Verdana"/>
          <w:lang w:val="en-US"/>
        </w:rPr>
      </w:pPr>
      <w:r>
        <w:rPr>
          <w:rFonts w:ascii="Verdana" w:hAnsi="Verdana"/>
          <w:lang w:val="en-US"/>
        </w:rPr>
        <w:t>With Warm Regards</w:t>
      </w:r>
    </w:p>
    <w:p w:rsidR="002F73C7" w:rsidRDefault="002F73C7" w:rsidP="002F73C7">
      <w:pPr>
        <w:jc w:val="both"/>
        <w:rPr>
          <w:rFonts w:ascii="Verdana" w:hAnsi="Verdana"/>
          <w:lang w:val="en-US"/>
        </w:rPr>
      </w:pPr>
    </w:p>
    <w:p w:rsidR="002F73C7" w:rsidRDefault="002F73C7" w:rsidP="002F73C7">
      <w:pPr>
        <w:jc w:val="both"/>
        <w:rPr>
          <w:rFonts w:ascii="Verdana" w:hAnsi="Verdana"/>
          <w:lang w:val="en-US"/>
        </w:rPr>
      </w:pPr>
      <w:r>
        <w:rPr>
          <w:rFonts w:ascii="Verdana" w:hAnsi="Verdana"/>
          <w:lang w:val="en-US"/>
        </w:rPr>
        <w:t>N. Pradeep</w:t>
      </w:r>
    </w:p>
    <w:p w:rsidR="002F73C7" w:rsidRDefault="002F73C7" w:rsidP="002F73C7">
      <w:pPr>
        <w:jc w:val="both"/>
        <w:rPr>
          <w:rFonts w:ascii="Verdana" w:hAnsi="Verdana"/>
          <w:lang w:val="en-US"/>
        </w:rPr>
      </w:pPr>
      <w:r>
        <w:rPr>
          <w:rFonts w:ascii="Verdana" w:hAnsi="Verdana"/>
          <w:lang w:val="en-US"/>
        </w:rPr>
        <w:t>President</w:t>
      </w:r>
    </w:p>
    <w:p w:rsidR="00A2201A" w:rsidRDefault="00A2201A" w:rsidP="00A2201A">
      <w:bookmarkStart w:id="0" w:name="_GoBack"/>
      <w:bookmarkEnd w:id="0"/>
    </w:p>
    <w:p w:rsidR="0031094F" w:rsidRDefault="0031094F"/>
    <w:sectPr w:rsidR="0031094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22F" w:rsidRDefault="006A022F">
      <w:r>
        <w:separator/>
      </w:r>
    </w:p>
  </w:endnote>
  <w:endnote w:type="continuationSeparator" w:id="0">
    <w:p w:rsidR="006A022F" w:rsidRDefault="006A0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22F" w:rsidRDefault="006A022F">
      <w:r>
        <w:separator/>
      </w:r>
    </w:p>
  </w:footnote>
  <w:footnote w:type="continuationSeparator" w:id="0">
    <w:p w:rsidR="006A022F" w:rsidRDefault="006A02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E80" w:rsidRDefault="00A2201A" w:rsidP="001B5E80">
    <w:pPr>
      <w:rPr>
        <w:rFonts w:ascii="Verdana" w:hAnsi="Verdana"/>
        <w:b/>
        <w:bCs/>
        <w:color w:val="0000CC"/>
        <w:sz w:val="24"/>
        <w:szCs w:val="24"/>
      </w:rPr>
    </w:pPr>
    <w:r>
      <w:rPr>
        <w:rFonts w:ascii="Verdana" w:hAnsi="Verdana"/>
        <w:b/>
        <w:bCs/>
        <w:noProof/>
        <w:color w:val="0000CC"/>
        <w:sz w:val="24"/>
        <w:szCs w:val="24"/>
      </w:rPr>
      <w:drawing>
        <wp:inline distT="0" distB="0" distL="0" distR="0" wp14:anchorId="59D8004A" wp14:editId="4E900A7F">
          <wp:extent cx="1581150" cy="457200"/>
          <wp:effectExtent l="0" t="0" r="0" b="0"/>
          <wp:docPr id="2" name="Picture 2" descr="cid:image002.jpg@01D7FD8A.514C2D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jpg@01D7FD8A.514C2D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81150" cy="457200"/>
                  </a:xfrm>
                  <a:prstGeom prst="rect">
                    <a:avLst/>
                  </a:prstGeom>
                  <a:noFill/>
                  <a:ln>
                    <a:noFill/>
                  </a:ln>
                </pic:spPr>
              </pic:pic>
            </a:graphicData>
          </a:graphic>
        </wp:inline>
      </w:drawing>
    </w:r>
    <w:r>
      <w:rPr>
        <w:rFonts w:ascii="Verdana" w:hAnsi="Verdana"/>
        <w:b/>
        <w:bCs/>
        <w:color w:val="0000CC"/>
        <w:sz w:val="24"/>
        <w:szCs w:val="24"/>
      </w:rPr>
      <w:t>                                                             </w:t>
    </w:r>
    <w:r>
      <w:rPr>
        <w:rFonts w:ascii="Verdana" w:hAnsi="Verdana"/>
        <w:noProof/>
        <w:color w:val="0000CC"/>
        <w:sz w:val="32"/>
        <w:szCs w:val="32"/>
      </w:rPr>
      <w:drawing>
        <wp:inline distT="0" distB="0" distL="0" distR="0" wp14:anchorId="06EF8E65" wp14:editId="2F366D84">
          <wp:extent cx="885825" cy="742950"/>
          <wp:effectExtent l="0" t="0" r="9525" b="0"/>
          <wp:docPr id="3" name="Picture 3" descr="cid:image004.jpg@01D97120.A2E9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jpg@01D97120.A2E9700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885825" cy="742950"/>
                  </a:xfrm>
                  <a:prstGeom prst="rect">
                    <a:avLst/>
                  </a:prstGeom>
                  <a:noFill/>
                  <a:ln>
                    <a:noFill/>
                  </a:ln>
                </pic:spPr>
              </pic:pic>
            </a:graphicData>
          </a:graphic>
        </wp:inline>
      </w:drawing>
    </w:r>
    <w:r>
      <w:rPr>
        <w:rFonts w:ascii="Verdana" w:hAnsi="Verdana"/>
        <w:b/>
        <w:bCs/>
        <w:color w:val="0000CC"/>
        <w:sz w:val="24"/>
        <w:szCs w:val="24"/>
      </w:rPr>
      <w:t> </w:t>
    </w:r>
  </w:p>
  <w:p w:rsidR="001B5E80" w:rsidRPr="00C100B8" w:rsidRDefault="00A2201A" w:rsidP="001B5E80">
    <w:pPr>
      <w:jc w:val="center"/>
      <w:rPr>
        <w:rFonts w:ascii="Verdana" w:hAnsi="Verdana"/>
        <w:color w:val="0000CC"/>
        <w:sz w:val="28"/>
        <w:szCs w:val="28"/>
      </w:rPr>
    </w:pPr>
    <w:r w:rsidRPr="00C100B8">
      <w:rPr>
        <w:rFonts w:ascii="Verdana" w:hAnsi="Verdana"/>
        <w:b/>
        <w:bCs/>
        <w:color w:val="0000CC"/>
        <w:sz w:val="28"/>
        <w:szCs w:val="28"/>
      </w:rPr>
      <w:t>TAMIL NADU ELECTRICITY CONSUMERS’ ASSOCIATION</w:t>
    </w:r>
  </w:p>
  <w:p w:rsidR="001B5E80" w:rsidRDefault="00A2201A" w:rsidP="001B5E80">
    <w:pPr>
      <w:jc w:val="center"/>
      <w:rPr>
        <w:rFonts w:ascii="Verdana" w:hAnsi="Verdana"/>
        <w:color w:val="948A54"/>
        <w:sz w:val="24"/>
        <w:szCs w:val="24"/>
      </w:rPr>
    </w:pPr>
    <w:r>
      <w:rPr>
        <w:rFonts w:ascii="Verdana" w:hAnsi="Verdana"/>
        <w:b/>
        <w:bCs/>
        <w:color w:val="948A54"/>
        <w:sz w:val="24"/>
        <w:szCs w:val="24"/>
      </w:rPr>
      <w:t>Regd. No.</w:t>
    </w:r>
    <w:r>
      <w:rPr>
        <w:rFonts w:ascii="Verdana" w:hAnsi="Verdana"/>
        <w:color w:val="948A54"/>
        <w:sz w:val="24"/>
        <w:szCs w:val="24"/>
      </w:rPr>
      <w:t xml:space="preserve"> 181-8524/1998 – </w:t>
    </w:r>
    <w:r>
      <w:rPr>
        <w:rFonts w:ascii="Verdana" w:hAnsi="Verdana"/>
        <w:b/>
        <w:bCs/>
        <w:color w:val="948A54"/>
        <w:sz w:val="24"/>
        <w:szCs w:val="24"/>
      </w:rPr>
      <w:t>CIN.No.</w:t>
    </w:r>
    <w:r>
      <w:rPr>
        <w:rFonts w:ascii="Verdana" w:hAnsi="Verdana"/>
        <w:color w:val="948A54"/>
        <w:sz w:val="24"/>
        <w:szCs w:val="24"/>
      </w:rPr>
      <w:t xml:space="preserve"> U37102TZ1998GAP008524</w:t>
    </w:r>
  </w:p>
  <w:p w:rsidR="001B5E80" w:rsidRDefault="00A2201A" w:rsidP="001B5E80">
    <w:pPr>
      <w:jc w:val="center"/>
      <w:rPr>
        <w:rFonts w:ascii="Verdana" w:hAnsi="Verdana"/>
        <w:color w:val="948A54"/>
        <w:sz w:val="24"/>
        <w:szCs w:val="24"/>
      </w:rPr>
    </w:pPr>
    <w:r>
      <w:rPr>
        <w:rFonts w:ascii="Verdana" w:hAnsi="Verdana"/>
        <w:color w:val="948A54"/>
        <w:sz w:val="24"/>
        <w:szCs w:val="24"/>
      </w:rPr>
      <w:t>1st Floor, SIEMA Building, 8/4, Race Course, Coimbatore - 641 018</w:t>
    </w:r>
  </w:p>
  <w:p w:rsidR="001B5E80" w:rsidRDefault="00A2201A" w:rsidP="001B5E80">
    <w:pPr>
      <w:jc w:val="center"/>
      <w:rPr>
        <w:rFonts w:ascii="Verdana" w:hAnsi="Verdana"/>
        <w:color w:val="948A54"/>
        <w:sz w:val="24"/>
        <w:szCs w:val="24"/>
      </w:rPr>
    </w:pPr>
    <w:r>
      <w:rPr>
        <w:rFonts w:ascii="Verdana" w:hAnsi="Verdana"/>
        <w:color w:val="948A54"/>
        <w:sz w:val="24"/>
        <w:szCs w:val="24"/>
      </w:rPr>
      <w:t xml:space="preserve">Phone: (0422) 4351400 Mobile No.  9787299000 E-mail: </w:t>
    </w:r>
    <w:hyperlink r:id="rId5" w:history="1">
      <w:r>
        <w:rPr>
          <w:rStyle w:val="Hyperlink"/>
          <w:rFonts w:ascii="Verdana" w:hAnsi="Verdana"/>
          <w:sz w:val="24"/>
          <w:szCs w:val="24"/>
        </w:rPr>
        <w:t>teca@tecaonline.in</w:t>
      </w:r>
    </w:hyperlink>
    <w:r>
      <w:rPr>
        <w:rFonts w:ascii="Verdana" w:hAnsi="Verdana"/>
        <w:color w:val="948A54"/>
        <w:sz w:val="24"/>
        <w:szCs w:val="24"/>
      </w:rPr>
      <w:t xml:space="preserve"> </w:t>
    </w:r>
    <w:proofErr w:type="spellStart"/>
    <w:r>
      <w:rPr>
        <w:rFonts w:ascii="Verdana" w:hAnsi="Verdana"/>
        <w:color w:val="948A54"/>
        <w:sz w:val="24"/>
        <w:szCs w:val="24"/>
      </w:rPr>
      <w:t>Web:www.tecaonline.in</w:t>
    </w:r>
    <w:proofErr w:type="spellEnd"/>
  </w:p>
  <w:p w:rsidR="001B5E80" w:rsidRDefault="006A022F" w:rsidP="001B5E80">
    <w:pPr>
      <w:pStyle w:val="Header"/>
    </w:pPr>
    <w:r>
      <w:rPr>
        <w:rFonts w:ascii="Verdana" w:eastAsia="Times New Roman" w:hAnsi="Verdana"/>
        <w:color w:val="000000"/>
      </w:rPr>
      <w:pict>
        <v:rect id="_x0000_i1025" style="width:468pt;height:1.5pt" o:hralign="center" o:hrstd="t" o:hr="t" fillcolor="#a0a0a0"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3F24"/>
    <w:multiLevelType w:val="hybridMultilevel"/>
    <w:tmpl w:val="EDFEC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01A"/>
    <w:rsid w:val="00056953"/>
    <w:rsid w:val="00151092"/>
    <w:rsid w:val="001741F7"/>
    <w:rsid w:val="001D7D52"/>
    <w:rsid w:val="002603DA"/>
    <w:rsid w:val="00284C4C"/>
    <w:rsid w:val="002F73C7"/>
    <w:rsid w:val="0031094F"/>
    <w:rsid w:val="003A25D2"/>
    <w:rsid w:val="003B36C8"/>
    <w:rsid w:val="00521311"/>
    <w:rsid w:val="0066299E"/>
    <w:rsid w:val="006A022F"/>
    <w:rsid w:val="008F66D3"/>
    <w:rsid w:val="00994381"/>
    <w:rsid w:val="00A2201A"/>
    <w:rsid w:val="00B75D14"/>
    <w:rsid w:val="00BD6CEC"/>
    <w:rsid w:val="00CD313D"/>
    <w:rsid w:val="00CD557B"/>
    <w:rsid w:val="00DF34DE"/>
    <w:rsid w:val="00EA3563"/>
    <w:rsid w:val="00EA7162"/>
    <w:rsid w:val="00F056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613E70-1E1E-4044-95A7-893110D3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563"/>
    <w:pPr>
      <w:spacing w:after="0" w:line="240" w:lineRule="auto"/>
    </w:pPr>
    <w:rPr>
      <w:rFonts w:ascii="Calibri" w:hAnsi="Calibri" w:cs="Calibri"/>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01A"/>
    <w:pPr>
      <w:tabs>
        <w:tab w:val="center" w:pos="4513"/>
        <w:tab w:val="right" w:pos="9026"/>
      </w:tabs>
    </w:pPr>
  </w:style>
  <w:style w:type="character" w:customStyle="1" w:styleId="HeaderChar">
    <w:name w:val="Header Char"/>
    <w:basedOn w:val="DefaultParagraphFont"/>
    <w:link w:val="Header"/>
    <w:uiPriority w:val="99"/>
    <w:rsid w:val="00A2201A"/>
  </w:style>
  <w:style w:type="character" w:styleId="Hyperlink">
    <w:name w:val="Hyperlink"/>
    <w:basedOn w:val="DefaultParagraphFont"/>
    <w:uiPriority w:val="99"/>
    <w:unhideWhenUsed/>
    <w:rsid w:val="00A2201A"/>
    <w:rPr>
      <w:color w:val="0000FF"/>
      <w:u w:val="single"/>
    </w:rPr>
  </w:style>
  <w:style w:type="paragraph" w:customStyle="1" w:styleId="Default">
    <w:name w:val="Default"/>
    <w:rsid w:val="00A2201A"/>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99"/>
    <w:semiHidden/>
    <w:unhideWhenUsed/>
    <w:rsid w:val="00EA3563"/>
    <w:pPr>
      <w:spacing w:after="120"/>
    </w:pPr>
  </w:style>
  <w:style w:type="character" w:customStyle="1" w:styleId="BodyTextChar">
    <w:name w:val="Body Text Char"/>
    <w:basedOn w:val="DefaultParagraphFont"/>
    <w:link w:val="BodyText"/>
    <w:uiPriority w:val="99"/>
    <w:semiHidden/>
    <w:rsid w:val="00EA3563"/>
    <w:rPr>
      <w:rFonts w:ascii="Calibri" w:hAnsi="Calibri" w:cs="Calibri"/>
      <w:lang w:eastAsia="en-IN"/>
    </w:rPr>
  </w:style>
  <w:style w:type="paragraph" w:styleId="ListParagraph">
    <w:name w:val="List Paragraph"/>
    <w:basedOn w:val="Normal"/>
    <w:uiPriority w:val="34"/>
    <w:qFormat/>
    <w:rsid w:val="00EA3563"/>
    <w:pPr>
      <w:ind w:left="720"/>
      <w:contextualSpacing/>
    </w:pPr>
    <w:rPr>
      <w:rFonts w:ascii="Times New Roman" w:hAnsi="Times New Roman" w:cs="Times New Roman"/>
      <w:sz w:val="24"/>
      <w:szCs w:val="24"/>
    </w:rPr>
  </w:style>
  <w:style w:type="paragraph" w:customStyle="1" w:styleId="m-9173357831015966128default">
    <w:name w:val="m_-9173357831015966128default"/>
    <w:basedOn w:val="Normal"/>
    <w:rsid w:val="001D7D52"/>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31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13D"/>
    <w:rPr>
      <w:rFonts w:ascii="Segoe UI" w:hAnsi="Segoe UI" w:cs="Segoe UI"/>
      <w:sz w:val="18"/>
      <w:szCs w:val="18"/>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63277">
      <w:bodyDiv w:val="1"/>
      <w:marLeft w:val="0"/>
      <w:marRight w:val="0"/>
      <w:marTop w:val="0"/>
      <w:marBottom w:val="0"/>
      <w:divBdr>
        <w:top w:val="none" w:sz="0" w:space="0" w:color="auto"/>
        <w:left w:val="none" w:sz="0" w:space="0" w:color="auto"/>
        <w:bottom w:val="none" w:sz="0" w:space="0" w:color="auto"/>
        <w:right w:val="none" w:sz="0" w:space="0" w:color="auto"/>
      </w:divBdr>
    </w:div>
    <w:div w:id="1249268498">
      <w:bodyDiv w:val="1"/>
      <w:marLeft w:val="0"/>
      <w:marRight w:val="0"/>
      <w:marTop w:val="0"/>
      <w:marBottom w:val="0"/>
      <w:divBdr>
        <w:top w:val="none" w:sz="0" w:space="0" w:color="auto"/>
        <w:left w:val="none" w:sz="0" w:space="0" w:color="auto"/>
        <w:bottom w:val="none" w:sz="0" w:space="0" w:color="auto"/>
        <w:right w:val="none" w:sz="0" w:space="0" w:color="auto"/>
      </w:divBdr>
    </w:div>
    <w:div w:id="1519465329">
      <w:bodyDiv w:val="1"/>
      <w:marLeft w:val="0"/>
      <w:marRight w:val="0"/>
      <w:marTop w:val="0"/>
      <w:marBottom w:val="0"/>
      <w:divBdr>
        <w:top w:val="none" w:sz="0" w:space="0" w:color="auto"/>
        <w:left w:val="none" w:sz="0" w:space="0" w:color="auto"/>
        <w:bottom w:val="none" w:sz="0" w:space="0" w:color="auto"/>
        <w:right w:val="none" w:sz="0" w:space="0" w:color="auto"/>
      </w:divBdr>
    </w:div>
    <w:div w:id="1934587318">
      <w:bodyDiv w:val="1"/>
      <w:marLeft w:val="0"/>
      <w:marRight w:val="0"/>
      <w:marTop w:val="0"/>
      <w:marBottom w:val="0"/>
      <w:divBdr>
        <w:top w:val="none" w:sz="0" w:space="0" w:color="auto"/>
        <w:left w:val="none" w:sz="0" w:space="0" w:color="auto"/>
        <w:bottom w:val="none" w:sz="0" w:space="0" w:color="auto"/>
        <w:right w:val="none" w:sz="0" w:space="0" w:color="auto"/>
      </w:divBdr>
    </w:div>
    <w:div w:id="201996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1.jpg@01D97120.A2E97000" TargetMode="External"/><Relationship Id="rId1" Type="http://schemas.openxmlformats.org/officeDocument/2006/relationships/image" Target="media/image1.jpeg"/><Relationship Id="rId5" Type="http://schemas.openxmlformats.org/officeDocument/2006/relationships/hyperlink" Target="mailto:teca@tecaonline.in" TargetMode="External"/><Relationship Id="rId4" Type="http://schemas.openxmlformats.org/officeDocument/2006/relationships/image" Target="cid:image004.jpg@01D97120.A2E97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Teca</dc:creator>
  <cp:keywords/>
  <dc:description/>
  <cp:lastModifiedBy>Teca</cp:lastModifiedBy>
  <cp:revision>3</cp:revision>
  <cp:lastPrinted>2023-08-03T04:16:00Z</cp:lastPrinted>
  <dcterms:created xsi:type="dcterms:W3CDTF">2023-09-13T04:50:00Z</dcterms:created>
  <dcterms:modified xsi:type="dcterms:W3CDTF">2023-09-13T04:51:00Z</dcterms:modified>
</cp:coreProperties>
</file>